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48EF73" w14:textId="77777777" w:rsidR="00AC0039" w:rsidRDefault="00000000">
      <w:pPr>
        <w:spacing w:after="40"/>
        <w:jc w:val="center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COMPLEMENTO DI SVILUPPO RURALE PER L’UMBRIA 2023-2027</w:t>
      </w:r>
    </w:p>
    <w:p w14:paraId="2516F249" w14:textId="77777777" w:rsidR="00AC0039" w:rsidRDefault="00000000">
      <w:pPr>
        <w:spacing w:after="160"/>
        <w:jc w:val="center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Intervento SRG08 – Sostegno ad azioni pilota e di collaudo dell’innovazione</w:t>
      </w:r>
    </w:p>
    <w:p w14:paraId="7C599662" w14:textId="77777777" w:rsidR="00AC0039" w:rsidRDefault="00000000">
      <w:pPr>
        <w:spacing w:before="240" w:after="60" w:line="252" w:lineRule="auto"/>
        <w:jc w:val="center"/>
        <w:rPr>
          <w:rFonts w:ascii="Arial" w:eastAsia="Arial" w:hAnsi="Arial" w:cs="Arial"/>
          <w:i/>
          <w:i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i/>
          <w:iCs/>
          <w:color w:val="000000"/>
          <w:sz w:val="24"/>
          <w:szCs w:val="24"/>
        </w:rPr>
        <w:t>Schema di regolamento interno del partenariato</w:t>
      </w:r>
    </w:p>
    <w:p w14:paraId="13EB32D4" w14:textId="77777777" w:rsidR="00AC0039" w:rsidRDefault="00000000">
      <w:pPr>
        <w:spacing w:before="240" w:after="60" w:line="252" w:lineRule="auto"/>
        <w:jc w:val="center"/>
        <w:rPr>
          <w:rFonts w:ascii="Arial" w:eastAsia="Arial" w:hAnsi="Arial" w:cs="Arial"/>
          <w:i/>
          <w:iCs/>
          <w:color w:val="000000"/>
        </w:rPr>
      </w:pPr>
      <w:r>
        <w:rPr>
          <w:rFonts w:ascii="Arial" w:eastAsia="Arial" w:hAnsi="Arial" w:cs="Arial"/>
          <w:i/>
          <w:iCs/>
          <w:color w:val="000000"/>
          <w:sz w:val="20"/>
          <w:szCs w:val="20"/>
        </w:rPr>
        <w:t>Fac-simile da compilare e sottoscrivere da parte del capofila e di tutti i partner</w:t>
      </w:r>
    </w:p>
    <w:p w14:paraId="4109A0FE" w14:textId="77777777" w:rsidR="00AC0039" w:rsidRDefault="00000000" w:rsidP="00D14115">
      <w:pPr>
        <w:pStyle w:val="Titolo2"/>
        <w:spacing w:after="120"/>
        <w:rPr>
          <w:rFonts w:ascii="Arial" w:eastAsia="Arial" w:hAnsi="Arial" w:cs="Arial"/>
          <w:b w:val="0"/>
          <w:bCs w:val="0"/>
          <w:color w:val="000000"/>
          <w:sz w:val="20"/>
          <w:szCs w:val="20"/>
        </w:rPr>
      </w:pPr>
      <w:r>
        <w:rPr>
          <w:rFonts w:ascii="Arial" w:eastAsia="Arial" w:hAnsi="Arial" w:cs="Arial"/>
          <w:b w:val="0"/>
          <w:bCs w:val="0"/>
          <w:color w:val="000000"/>
          <w:sz w:val="20"/>
          <w:szCs w:val="20"/>
        </w:rPr>
        <w:t>Dati identificativi del progetto</w:t>
      </w:r>
    </w:p>
    <w:tbl>
      <w:tblPr>
        <w:tblStyle w:val="a"/>
        <w:tblW w:w="9971" w:type="dxa"/>
        <w:jc w:val="center"/>
        <w:tblInd w:w="0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ayout w:type="fixed"/>
        <w:tblLook w:val="0400" w:firstRow="0" w:lastRow="0" w:firstColumn="0" w:lastColumn="0" w:noHBand="0" w:noVBand="1"/>
      </w:tblPr>
      <w:tblGrid>
        <w:gridCol w:w="3256"/>
        <w:gridCol w:w="6715"/>
      </w:tblGrid>
      <w:tr w:rsidR="00AC0039" w14:paraId="36339402" w14:textId="77777777" w:rsidTr="00B04D73">
        <w:trPr>
          <w:trHeight w:val="603"/>
          <w:jc w:val="center"/>
        </w:trPr>
        <w:tc>
          <w:tcPr>
            <w:tcW w:w="3256" w:type="dxa"/>
            <w:shd w:val="clear" w:color="auto" w:fill="F2F2F2"/>
            <w:vAlign w:val="center"/>
          </w:tcPr>
          <w:p w14:paraId="29721009" w14:textId="77777777" w:rsidR="00AC0039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Titolo del progetto</w:t>
            </w:r>
          </w:p>
        </w:tc>
        <w:tc>
          <w:tcPr>
            <w:tcW w:w="6715" w:type="dxa"/>
            <w:vAlign w:val="center"/>
          </w:tcPr>
          <w:p w14:paraId="17DDE1FE" w14:textId="77777777" w:rsidR="00AC0039" w:rsidRDefault="00AC0039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AC0039" w14:paraId="0FA1439D" w14:textId="77777777" w:rsidTr="00B04D73">
        <w:trPr>
          <w:trHeight w:val="603"/>
          <w:jc w:val="center"/>
        </w:trPr>
        <w:tc>
          <w:tcPr>
            <w:tcW w:w="3256" w:type="dxa"/>
            <w:shd w:val="clear" w:color="auto" w:fill="F2F2F2"/>
            <w:vAlign w:val="center"/>
          </w:tcPr>
          <w:p w14:paraId="73C1D62F" w14:textId="77777777" w:rsidR="00AC0039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Acronimo</w:t>
            </w:r>
          </w:p>
        </w:tc>
        <w:tc>
          <w:tcPr>
            <w:tcW w:w="6715" w:type="dxa"/>
            <w:vAlign w:val="center"/>
          </w:tcPr>
          <w:p w14:paraId="6E42B186" w14:textId="77777777" w:rsidR="00AC0039" w:rsidRDefault="00AC0039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AC0039" w14:paraId="37EA8CFD" w14:textId="77777777" w:rsidTr="00B04D73">
        <w:trPr>
          <w:trHeight w:val="603"/>
          <w:jc w:val="center"/>
        </w:trPr>
        <w:tc>
          <w:tcPr>
            <w:tcW w:w="3256" w:type="dxa"/>
            <w:shd w:val="clear" w:color="auto" w:fill="F2F2F2"/>
            <w:vAlign w:val="center"/>
          </w:tcPr>
          <w:p w14:paraId="38ABA119" w14:textId="77777777" w:rsidR="00AC0039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Capofila</w:t>
            </w:r>
          </w:p>
        </w:tc>
        <w:tc>
          <w:tcPr>
            <w:tcW w:w="6715" w:type="dxa"/>
            <w:vAlign w:val="center"/>
          </w:tcPr>
          <w:p w14:paraId="2B50055D" w14:textId="77777777" w:rsidR="00AC0039" w:rsidRDefault="00AC0039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AC0039" w14:paraId="502E3BD2" w14:textId="77777777" w:rsidTr="00B04D73">
        <w:trPr>
          <w:trHeight w:val="603"/>
          <w:jc w:val="center"/>
        </w:trPr>
        <w:tc>
          <w:tcPr>
            <w:tcW w:w="3256" w:type="dxa"/>
            <w:shd w:val="clear" w:color="auto" w:fill="F2F2F2"/>
            <w:vAlign w:val="center"/>
          </w:tcPr>
          <w:p w14:paraId="3C2F9556" w14:textId="77777777" w:rsidR="00AC0039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Forma di partenariato prescelta</w:t>
            </w:r>
          </w:p>
        </w:tc>
        <w:tc>
          <w:tcPr>
            <w:tcW w:w="6715" w:type="dxa"/>
            <w:vAlign w:val="center"/>
          </w:tcPr>
          <w:p w14:paraId="0880CC67" w14:textId="77777777" w:rsidR="00AC0039" w:rsidRDefault="00AC0039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</w:tbl>
    <w:p w14:paraId="18B9CE2B" w14:textId="77777777" w:rsidR="00AC0039" w:rsidRDefault="00000000">
      <w:pPr>
        <w:spacing w:before="240" w:after="6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Il presente Regolamento interno disciplina l’organizzazione, le modalità di funzionamento, i processi decisionali, i ruoli e le responsabilità del partenariato costituito per la realizzazione del progetto indicato in epigrafe, presentato nell’ambito dell’intervento SRG08 del CSR Umbria 2023-2027.</w:t>
      </w:r>
    </w:p>
    <w:p w14:paraId="2B270A29" w14:textId="77777777" w:rsidR="00AC0039" w:rsidRDefault="00000000">
      <w:pPr>
        <w:spacing w:after="6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Il Regolamento è predisposto in coerenza con il progetto approvato, con l’Avviso pubblico SRG08, con l’atto di costituzione o formalizzazione del partenariato nella forma prescelta tra quelle ammesse dall’art. 6.2 dell’Avviso, nonché con gli obblighi assunti dal capofila e dai partner.</w:t>
      </w:r>
    </w:p>
    <w:p w14:paraId="13BD85C3" w14:textId="77777777" w:rsidR="00AC0039" w:rsidRDefault="00000000">
      <w:pPr>
        <w:spacing w:after="6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Ai fini del presente Allegato, per “partenariato” si intende l’insieme dei soggetti aderenti al progetto, costituito o da costituire in una delle forme giuridico-organizzative ammesse dall’art. 6.2 dell’Avviso.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Il presente Regolamento integra, per quanto compatibile, gli atti costitutivi o negoziali del partenariato, senza sostituire le clausole obbligatorie richieste dall’Avviso.</w:t>
      </w:r>
    </w:p>
    <w:p w14:paraId="68C14C86" w14:textId="77777777" w:rsidR="00AC0039" w:rsidRDefault="00000000" w:rsidP="00D14115">
      <w:pPr>
        <w:pStyle w:val="Titolo2"/>
        <w:spacing w:after="120"/>
        <w:rPr>
          <w:rFonts w:ascii="Arial" w:eastAsia="Arial" w:hAnsi="Arial" w:cs="Arial"/>
          <w:b w:val="0"/>
          <w:bCs w:val="0"/>
          <w:i/>
          <w:iCs/>
          <w:color w:val="000000"/>
          <w:sz w:val="20"/>
          <w:szCs w:val="20"/>
        </w:rPr>
      </w:pPr>
      <w:r>
        <w:rPr>
          <w:rFonts w:ascii="Arial" w:eastAsia="Arial" w:hAnsi="Arial" w:cs="Arial"/>
          <w:b w:val="0"/>
          <w:bCs w:val="0"/>
          <w:i/>
          <w:iCs/>
          <w:color w:val="000000"/>
          <w:sz w:val="20"/>
          <w:szCs w:val="20"/>
        </w:rPr>
        <w:t>Art. 1 – Composizione del partenariato e ruoli specifici</w:t>
      </w:r>
    </w:p>
    <w:p w14:paraId="5AA1A3D8" w14:textId="77777777" w:rsidR="00AC0039" w:rsidRDefault="00000000">
      <w:pPr>
        <w:spacing w:after="6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Il partenariato è composto dai soggetti di seguito indicati, con i rispettivi ruoli funzionali alla realizzazione del progetto:</w:t>
      </w:r>
    </w:p>
    <w:tbl>
      <w:tblPr>
        <w:tblStyle w:val="a0"/>
        <w:tblW w:w="9940" w:type="dxa"/>
        <w:jc w:val="center"/>
        <w:tblInd w:w="0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ayout w:type="fixed"/>
        <w:tblLook w:val="0400" w:firstRow="0" w:lastRow="0" w:firstColumn="0" w:lastColumn="0" w:noHBand="0" w:noVBand="1"/>
      </w:tblPr>
      <w:tblGrid>
        <w:gridCol w:w="2485"/>
        <w:gridCol w:w="2485"/>
        <w:gridCol w:w="2485"/>
        <w:gridCol w:w="2485"/>
      </w:tblGrid>
      <w:tr w:rsidR="00AC0039" w14:paraId="690D3482" w14:textId="77777777" w:rsidTr="00B04D73">
        <w:trPr>
          <w:trHeight w:val="483"/>
          <w:jc w:val="center"/>
        </w:trPr>
        <w:tc>
          <w:tcPr>
            <w:tcW w:w="2485" w:type="dxa"/>
            <w:shd w:val="clear" w:color="auto" w:fill="F2F2F2"/>
            <w:vAlign w:val="center"/>
          </w:tcPr>
          <w:p w14:paraId="06177648" w14:textId="77777777" w:rsidR="00AC0039" w:rsidRDefault="00000000">
            <w:pPr>
              <w:spacing w:line="276" w:lineRule="auto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Denominazione partner</w:t>
            </w:r>
          </w:p>
        </w:tc>
        <w:tc>
          <w:tcPr>
            <w:tcW w:w="2485" w:type="dxa"/>
            <w:shd w:val="clear" w:color="auto" w:fill="F2F2F2"/>
            <w:vAlign w:val="center"/>
          </w:tcPr>
          <w:p w14:paraId="4D214F58" w14:textId="77777777" w:rsidR="00AC0039" w:rsidRDefault="00000000">
            <w:pPr>
              <w:spacing w:line="276" w:lineRule="auto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Ruolo nel partenariato</w:t>
            </w:r>
          </w:p>
        </w:tc>
        <w:tc>
          <w:tcPr>
            <w:tcW w:w="2485" w:type="dxa"/>
            <w:shd w:val="clear" w:color="auto" w:fill="F2F2F2"/>
            <w:vAlign w:val="center"/>
          </w:tcPr>
          <w:p w14:paraId="11EDBCBC" w14:textId="77777777" w:rsidR="00AC0039" w:rsidRDefault="00000000">
            <w:pPr>
              <w:spacing w:line="276" w:lineRule="auto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Attività/WP assegnati</w:t>
            </w:r>
          </w:p>
        </w:tc>
        <w:tc>
          <w:tcPr>
            <w:tcW w:w="2485" w:type="dxa"/>
            <w:shd w:val="clear" w:color="auto" w:fill="F2F2F2"/>
            <w:vAlign w:val="center"/>
          </w:tcPr>
          <w:p w14:paraId="686E4300" w14:textId="77777777" w:rsidR="00AC0039" w:rsidRDefault="00000000">
            <w:pPr>
              <w:spacing w:line="276" w:lineRule="auto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Referente operativo</w:t>
            </w:r>
          </w:p>
        </w:tc>
      </w:tr>
      <w:tr w:rsidR="00AC0039" w14:paraId="7324DE76" w14:textId="77777777" w:rsidTr="00B04D73">
        <w:trPr>
          <w:trHeight w:val="483"/>
          <w:jc w:val="center"/>
        </w:trPr>
        <w:tc>
          <w:tcPr>
            <w:tcW w:w="2485" w:type="dxa"/>
            <w:vAlign w:val="center"/>
          </w:tcPr>
          <w:p w14:paraId="3AA45371" w14:textId="77777777" w:rsidR="00AC0039" w:rsidRDefault="00AC0039">
            <w:pPr>
              <w:spacing w:line="276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85" w:type="dxa"/>
            <w:vAlign w:val="center"/>
          </w:tcPr>
          <w:p w14:paraId="4D21E553" w14:textId="77777777" w:rsidR="00AC0039" w:rsidRDefault="00AC0039">
            <w:pPr>
              <w:spacing w:line="276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85" w:type="dxa"/>
            <w:vAlign w:val="center"/>
          </w:tcPr>
          <w:p w14:paraId="286781BD" w14:textId="77777777" w:rsidR="00AC0039" w:rsidRDefault="00AC0039">
            <w:pPr>
              <w:spacing w:line="276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85" w:type="dxa"/>
            <w:vAlign w:val="center"/>
          </w:tcPr>
          <w:p w14:paraId="25E8E84F" w14:textId="77777777" w:rsidR="00AC0039" w:rsidRDefault="00AC0039">
            <w:pPr>
              <w:spacing w:line="276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AC0039" w14:paraId="307D11BA" w14:textId="77777777" w:rsidTr="00B04D73">
        <w:trPr>
          <w:trHeight w:val="463"/>
          <w:jc w:val="center"/>
        </w:trPr>
        <w:tc>
          <w:tcPr>
            <w:tcW w:w="2485" w:type="dxa"/>
            <w:vAlign w:val="center"/>
          </w:tcPr>
          <w:p w14:paraId="687744CF" w14:textId="77777777" w:rsidR="00AC0039" w:rsidRDefault="00AC0039">
            <w:pPr>
              <w:spacing w:line="276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85" w:type="dxa"/>
            <w:vAlign w:val="center"/>
          </w:tcPr>
          <w:p w14:paraId="4297A16D" w14:textId="77777777" w:rsidR="00AC0039" w:rsidRDefault="00AC0039">
            <w:pPr>
              <w:spacing w:line="276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85" w:type="dxa"/>
            <w:vAlign w:val="center"/>
          </w:tcPr>
          <w:p w14:paraId="4E189F79" w14:textId="77777777" w:rsidR="00AC0039" w:rsidRDefault="00AC0039">
            <w:pPr>
              <w:spacing w:line="276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85" w:type="dxa"/>
            <w:vAlign w:val="center"/>
          </w:tcPr>
          <w:p w14:paraId="21AACCBC" w14:textId="77777777" w:rsidR="00AC0039" w:rsidRDefault="00AC0039">
            <w:pPr>
              <w:spacing w:line="276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AC0039" w14:paraId="4D9506E5" w14:textId="77777777" w:rsidTr="00B04D73">
        <w:trPr>
          <w:trHeight w:val="483"/>
          <w:jc w:val="center"/>
        </w:trPr>
        <w:tc>
          <w:tcPr>
            <w:tcW w:w="2485" w:type="dxa"/>
            <w:vAlign w:val="center"/>
          </w:tcPr>
          <w:p w14:paraId="491DE6B5" w14:textId="77777777" w:rsidR="00AC0039" w:rsidRDefault="00AC0039">
            <w:pPr>
              <w:spacing w:line="276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85" w:type="dxa"/>
            <w:vAlign w:val="center"/>
          </w:tcPr>
          <w:p w14:paraId="1B289B4D" w14:textId="77777777" w:rsidR="00AC0039" w:rsidRDefault="00AC0039">
            <w:pPr>
              <w:spacing w:line="276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85" w:type="dxa"/>
            <w:vAlign w:val="center"/>
          </w:tcPr>
          <w:p w14:paraId="7FDAA1E0" w14:textId="77777777" w:rsidR="00AC0039" w:rsidRDefault="00AC0039">
            <w:pPr>
              <w:spacing w:line="276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85" w:type="dxa"/>
            <w:vAlign w:val="center"/>
          </w:tcPr>
          <w:p w14:paraId="01810477" w14:textId="77777777" w:rsidR="00AC0039" w:rsidRDefault="00AC0039">
            <w:pPr>
              <w:spacing w:line="276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AC0039" w14:paraId="40D44EDF" w14:textId="77777777" w:rsidTr="00B04D73">
        <w:trPr>
          <w:trHeight w:val="483"/>
          <w:jc w:val="center"/>
        </w:trPr>
        <w:tc>
          <w:tcPr>
            <w:tcW w:w="2485" w:type="dxa"/>
            <w:vAlign w:val="center"/>
          </w:tcPr>
          <w:p w14:paraId="69366BD6" w14:textId="77777777" w:rsidR="00AC0039" w:rsidRDefault="00AC0039">
            <w:pPr>
              <w:spacing w:line="276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85" w:type="dxa"/>
            <w:vAlign w:val="center"/>
          </w:tcPr>
          <w:p w14:paraId="67D3E494" w14:textId="77777777" w:rsidR="00AC0039" w:rsidRDefault="00AC0039">
            <w:pPr>
              <w:spacing w:line="276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85" w:type="dxa"/>
            <w:vAlign w:val="center"/>
          </w:tcPr>
          <w:p w14:paraId="46F4FAED" w14:textId="77777777" w:rsidR="00AC0039" w:rsidRDefault="00AC0039">
            <w:pPr>
              <w:spacing w:line="276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85" w:type="dxa"/>
            <w:vAlign w:val="center"/>
          </w:tcPr>
          <w:p w14:paraId="3F4B24EC" w14:textId="77777777" w:rsidR="00AC0039" w:rsidRDefault="00AC0039">
            <w:pPr>
              <w:spacing w:line="276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AC0039" w14:paraId="6BE35FFA" w14:textId="77777777" w:rsidTr="00B04D73">
        <w:trPr>
          <w:trHeight w:val="483"/>
          <w:jc w:val="center"/>
        </w:trPr>
        <w:tc>
          <w:tcPr>
            <w:tcW w:w="2485" w:type="dxa"/>
            <w:vAlign w:val="center"/>
          </w:tcPr>
          <w:p w14:paraId="2BE29263" w14:textId="77777777" w:rsidR="00AC0039" w:rsidRDefault="00AC0039">
            <w:pPr>
              <w:spacing w:line="276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85" w:type="dxa"/>
            <w:vAlign w:val="center"/>
          </w:tcPr>
          <w:p w14:paraId="2E169D7B" w14:textId="77777777" w:rsidR="00AC0039" w:rsidRDefault="00AC0039">
            <w:pPr>
              <w:spacing w:line="276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85" w:type="dxa"/>
            <w:vAlign w:val="center"/>
          </w:tcPr>
          <w:p w14:paraId="34A45665" w14:textId="77777777" w:rsidR="00AC0039" w:rsidRDefault="00AC0039">
            <w:pPr>
              <w:spacing w:line="276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85" w:type="dxa"/>
            <w:vAlign w:val="center"/>
          </w:tcPr>
          <w:p w14:paraId="1F932AF3" w14:textId="77777777" w:rsidR="00AC0039" w:rsidRDefault="00AC0039">
            <w:pPr>
              <w:spacing w:line="276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14:paraId="0CE5E067" w14:textId="77777777" w:rsidR="00AC0039" w:rsidRDefault="00000000">
      <w:pPr>
        <w:spacing w:after="6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lastRenderedPageBreak/>
        <w:t>Il capofila è il referente unico nei confronti dell’Amministrazione regionale per gli adempimenti previsti dall’Avviso, ferma restando la responsabilità di ciascun partner per le attività, gli impegni, gli output e le evidenze di propria competenza. Ciascun partner assicura la partecipazione effettiva alle attività progettuali approvate, secondo il ruolo indicato nella domanda di sostegno, nel progetto e nel presente Regolamento.</w:t>
      </w:r>
    </w:p>
    <w:p w14:paraId="69DE7627" w14:textId="77777777" w:rsidR="00AC0039" w:rsidRDefault="00000000" w:rsidP="00D14115">
      <w:pPr>
        <w:pStyle w:val="Titolo2"/>
        <w:spacing w:after="120"/>
        <w:rPr>
          <w:rFonts w:ascii="Arial" w:eastAsia="Arial" w:hAnsi="Arial" w:cs="Arial"/>
          <w:b w:val="0"/>
          <w:bCs w:val="0"/>
          <w:i/>
          <w:iCs/>
          <w:color w:val="000000"/>
          <w:sz w:val="20"/>
          <w:szCs w:val="20"/>
        </w:rPr>
      </w:pPr>
      <w:r>
        <w:rPr>
          <w:rFonts w:ascii="Arial" w:eastAsia="Arial" w:hAnsi="Arial" w:cs="Arial"/>
          <w:b w:val="0"/>
          <w:bCs w:val="0"/>
          <w:i/>
          <w:iCs/>
          <w:color w:val="000000"/>
          <w:sz w:val="20"/>
          <w:szCs w:val="20"/>
        </w:rPr>
        <w:t>Art. 2 – Responsabilità del capofila</w:t>
      </w:r>
    </w:p>
    <w:p w14:paraId="1667B2DA" w14:textId="77777777" w:rsidR="00AC0039" w:rsidRDefault="00000000">
      <w:pPr>
        <w:spacing w:after="6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Il capofila coordina l’attuazione complessiva del progetto e cura il raccordo amministrativo, tecnico e gestionale tra i partner e l’Amministrazione regionale.</w:t>
      </w:r>
    </w:p>
    <w:p w14:paraId="23451244" w14:textId="77777777" w:rsidR="00AC0039" w:rsidRDefault="00000000">
      <w:pP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In particolare, il capofila:</w:t>
      </w:r>
    </w:p>
    <w:p w14:paraId="2BDA6F9B" w14:textId="77777777" w:rsidR="00AC003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assicura il coordinamento del partenariato e il rispetto del cronoprogramma approvato;</w:t>
      </w:r>
    </w:p>
    <w:p w14:paraId="75F849EC" w14:textId="77777777" w:rsidR="00AC003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promuove la partecipazione attiva dei partner e la circolazione delle informazioni;</w:t>
      </w:r>
    </w:p>
    <w:p w14:paraId="5138E0EA" w14:textId="77777777" w:rsidR="00AC003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raccoglie e organizza la documentazione tecnica, amministrativa e progettuale necessaria ai fini delle domande di pagamento, del monitoraggio e dei controlli;</w:t>
      </w:r>
    </w:p>
    <w:p w14:paraId="0E19465B" w14:textId="77777777" w:rsidR="00AC003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vigila sulla coerenza tra attività realizzate, ore imputate, output prodotti ed evidenze progettuali;</w:t>
      </w:r>
    </w:p>
    <w:p w14:paraId="7AACC043" w14:textId="77777777" w:rsidR="00AC003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convoca il gruppo di coordinamento e cura la verbalizzazione delle riunioni;</w:t>
      </w:r>
    </w:p>
    <w:p w14:paraId="5058B4D0" w14:textId="77777777" w:rsidR="00AC003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assicura, nei limiti delle proprie competenze, il rispetto degli obblighi di comunicazione, pubblicità, tracciabilità, conservazione documentale e divieto di doppio finanziamento.</w:t>
      </w:r>
    </w:p>
    <w:p w14:paraId="761D6DBF" w14:textId="77777777" w:rsidR="00AC0039" w:rsidRDefault="00000000">
      <w:pPr>
        <w:spacing w:before="240" w:after="60"/>
        <w:jc w:val="both"/>
        <w:rPr>
          <w:color w:val="262626"/>
          <w:sz w:val="18"/>
          <w:szCs w:val="18"/>
        </w:rPr>
      </w:pPr>
      <w:r>
        <w:rPr>
          <w:rFonts w:ascii="Arial" w:eastAsia="Arial" w:hAnsi="Arial" w:cs="Arial"/>
          <w:sz w:val="20"/>
          <w:szCs w:val="20"/>
        </w:rPr>
        <w:t xml:space="preserve">Il capofila assicura il raccordo con il referente tecnico-scientifico individuato nella Scheda progetto e ne favorisce il coordinamento con i partner coinvolti nelle attività di messa a punto, collaudo, adattamento e verifica applicativa dell’innovazione. </w:t>
      </w:r>
    </w:p>
    <w:p w14:paraId="62081E96" w14:textId="77777777" w:rsidR="00AC0039" w:rsidRDefault="00000000" w:rsidP="00D14115">
      <w:pPr>
        <w:pStyle w:val="Titolo2"/>
        <w:spacing w:after="120"/>
        <w:rPr>
          <w:rFonts w:ascii="Arial" w:eastAsia="Arial" w:hAnsi="Arial" w:cs="Arial"/>
          <w:b w:val="0"/>
          <w:bCs w:val="0"/>
          <w:i/>
          <w:iCs/>
          <w:color w:val="000000"/>
          <w:sz w:val="20"/>
          <w:szCs w:val="20"/>
        </w:rPr>
      </w:pPr>
      <w:r>
        <w:rPr>
          <w:rFonts w:ascii="Arial" w:eastAsia="Arial" w:hAnsi="Arial" w:cs="Arial"/>
          <w:b w:val="0"/>
          <w:bCs w:val="0"/>
          <w:i/>
          <w:iCs/>
          <w:color w:val="000000"/>
          <w:sz w:val="20"/>
          <w:szCs w:val="20"/>
        </w:rPr>
        <w:t>Art. 3 – Responsabilità dei partner</w:t>
      </w:r>
    </w:p>
    <w:p w14:paraId="6C8A5767" w14:textId="77777777" w:rsidR="00AC0039" w:rsidRDefault="00000000">
      <w:pPr>
        <w:spacing w:after="6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Ciascun partner realizza le attività assegnate in conformità al progetto approvato, all’Avviso e al presente Regolamento, assicurando il rispetto degli impegni assunti e la produzione delle evidenze necessarie a documentare l’effettiva attuazione delle attività.</w:t>
      </w:r>
    </w:p>
    <w:p w14:paraId="1247EE60" w14:textId="77777777" w:rsidR="00AC0039" w:rsidRDefault="00000000">
      <w:pP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I partner sono tenuti a:</w:t>
      </w:r>
    </w:p>
    <w:p w14:paraId="6C909856" w14:textId="77777777" w:rsidR="00AC003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partecipare alle attività progettuali, alle riunioni e ai momenti di verifica interna;</w:t>
      </w:r>
    </w:p>
    <w:p w14:paraId="023115AE" w14:textId="77777777" w:rsidR="00AC003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mettere a disposizione le risorse umane, tecniche, organizzative e, ove previste, aziendali necessarie per lo svolgimento delle attività;</w:t>
      </w:r>
    </w:p>
    <w:p w14:paraId="30196032" w14:textId="77777777" w:rsidR="00AC003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trasmettere tempestivamente al capofila le informazioni e la documentazione necessarie per monitoraggio, rendicontazione e controlli;</w:t>
      </w:r>
    </w:p>
    <w:p w14:paraId="588C298B" w14:textId="77777777" w:rsidR="00AC003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garantire la veridicità, completezza e tracciabilità delle informazioni e delle evidenze prodotte;</w:t>
      </w:r>
    </w:p>
    <w:p w14:paraId="1422A000" w14:textId="77777777" w:rsidR="00AC003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segnalare tempestivamente criticità, ritardi, impedimenti, variazioni o potenziali conflitti di interesse che possano incidere sull’attuazione del progetto;</w:t>
      </w:r>
    </w:p>
    <w:p w14:paraId="0F60E610" w14:textId="77777777" w:rsidR="00AC003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3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non imputare le medesime ore, attività, output o evidenze a più fonti di finanziamento.</w:t>
      </w:r>
    </w:p>
    <w:p w14:paraId="1366A0EC" w14:textId="77777777" w:rsidR="00AC0039" w:rsidRDefault="00000000" w:rsidP="00D14115">
      <w:pPr>
        <w:pStyle w:val="Titolo2"/>
        <w:spacing w:after="120"/>
        <w:rPr>
          <w:rFonts w:ascii="Arial" w:eastAsia="Arial" w:hAnsi="Arial" w:cs="Arial"/>
          <w:b w:val="0"/>
          <w:bCs w:val="0"/>
          <w:i/>
          <w:iCs/>
          <w:color w:val="000000"/>
          <w:sz w:val="20"/>
          <w:szCs w:val="20"/>
        </w:rPr>
      </w:pPr>
      <w:r>
        <w:rPr>
          <w:rFonts w:ascii="Arial" w:eastAsia="Arial" w:hAnsi="Arial" w:cs="Arial"/>
          <w:b w:val="0"/>
          <w:bCs w:val="0"/>
          <w:i/>
          <w:iCs/>
          <w:color w:val="000000"/>
          <w:sz w:val="20"/>
          <w:szCs w:val="20"/>
        </w:rPr>
        <w:t>Art. 4 – Coordinamento interno, partecipazione e tracciabilità delle decisioni</w:t>
      </w:r>
    </w:p>
    <w:p w14:paraId="63383E8C" w14:textId="77777777" w:rsidR="00AC0039" w:rsidRDefault="00000000" w:rsidP="00D14115">
      <w:pPr>
        <w:spacing w:before="240" w:after="8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Il partenariato assicura modalità di coordinamento interno idonee a garantire il confronto tra i partner, la partecipazione effettiva dei soggetti coinvolti, il monitoraggio dell’attuazione del progetto e la gestione delle decisioni rilevanti. A tal fine, il partenariato può istituire un gruppo di coordinamento, composto o partecipato dai </w:t>
      </w:r>
      <w:r>
        <w:rPr>
          <w:rFonts w:ascii="Arial" w:eastAsia="Arial" w:hAnsi="Arial" w:cs="Arial"/>
          <w:sz w:val="20"/>
          <w:szCs w:val="20"/>
        </w:rPr>
        <w:lastRenderedPageBreak/>
        <w:t>referenti individuati dai partner, ovvero adottare altra modalità organizzativa equivalente, purché idonea ad assicurare il coordinamento tecnico, amministrativo e operativo dell’operazione.</w:t>
      </w:r>
    </w:p>
    <w:p w14:paraId="7FC45F44" w14:textId="77777777" w:rsidR="00AC0039" w:rsidRDefault="00000000" w:rsidP="00D14115">
      <w:pPr>
        <w:spacing w:after="8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Le attività di coordinamento sono svolte con frequenza coerente con il cronoprogramma, con le principali scadenze progettuali, con l’avanzamento delle attività e con la presentazione delle domande di pagamento. Gli incontri, i confronti e le decisioni rilevanti sono documentati mediante verbali, report, scambi formali o altra evidenza idonea a garantire la tracciabilità delle attività svolte, delle criticità emerse, delle decisioni assunte e delle eventuali azioni correttive individuate.</w:t>
      </w:r>
    </w:p>
    <w:p w14:paraId="2B87AED0" w14:textId="77777777" w:rsidR="00AC0039" w:rsidRDefault="00000000" w:rsidP="00D14115">
      <w:pPr>
        <w:spacing w:after="24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Le decisioni che comportano modifiche al progetto approvato, al partenariato, alle attività, agli output, ai tempi, al piano finanziario o agli impegni assunti producono effetti nei confronti dell’Amministrazione regionale esclusivamente nei limiti e secondo le procedure previste dall’Avviso.</w:t>
      </w:r>
    </w:p>
    <w:p w14:paraId="0F4A25D3" w14:textId="77777777" w:rsidR="00AC0039" w:rsidRDefault="00000000" w:rsidP="00D14115">
      <w:pPr>
        <w:pStyle w:val="Titolo2"/>
        <w:spacing w:after="120"/>
        <w:rPr>
          <w:rFonts w:ascii="Arial" w:eastAsia="Arial" w:hAnsi="Arial" w:cs="Arial"/>
          <w:b w:val="0"/>
          <w:bCs w:val="0"/>
          <w:i/>
          <w:iCs/>
          <w:color w:val="000000"/>
          <w:sz w:val="20"/>
          <w:szCs w:val="20"/>
        </w:rPr>
      </w:pPr>
      <w:r>
        <w:rPr>
          <w:rFonts w:ascii="Arial" w:eastAsia="Arial" w:hAnsi="Arial" w:cs="Arial"/>
          <w:b w:val="0"/>
          <w:bCs w:val="0"/>
          <w:i/>
          <w:iCs/>
          <w:color w:val="000000"/>
          <w:sz w:val="20"/>
          <w:szCs w:val="20"/>
        </w:rPr>
        <w:t>Art. 5 – Modalità di interazione, informazione e monitoraggio interno</w:t>
      </w:r>
    </w:p>
    <w:p w14:paraId="2A99D556" w14:textId="77777777" w:rsidR="00AC0039" w:rsidRDefault="00000000">
      <w:pPr>
        <w:spacing w:after="6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Il capofila assicura la circolazione tempestiva delle informazioni tra i partner e promuove il loro coinvolgimento nell’attuazione e nella verifica delle attività progettuali.</w:t>
      </w:r>
    </w:p>
    <w:p w14:paraId="6A9A1B3B" w14:textId="77777777" w:rsidR="00AC0039" w:rsidRDefault="00000000">
      <w:pPr>
        <w:spacing w:after="6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A tal fine il partenariato utilizza strumenti idonei alla condivisione delle informazioni, quali posta elettronica, riunioni periodiche, cartelle condivise, report di avanzamento, verbali, presentazioni, piattaforme collaborative o altri strumenti equivalenti.</w:t>
      </w:r>
    </w:p>
    <w:p w14:paraId="3513A237" w14:textId="77777777" w:rsidR="00AC0039" w:rsidRDefault="00000000">
      <w:pPr>
        <w:spacing w:after="6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Il capofila, con il supporto dei partner, predispone periodicamente un aggiornamento sullo stato di avanzamento fisico, tecnico e finanziario del progetto, funzionale al monitoraggio interno e alla tempestiva individuazione di eventuali criticità.</w:t>
      </w:r>
    </w:p>
    <w:p w14:paraId="4D42F484" w14:textId="77777777" w:rsidR="00AC0039" w:rsidRDefault="00000000">
      <w:pPr>
        <w:spacing w:after="6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La partecipazione attiva dei partner deve essere mantenuta per l’intera durata del progetto ed essere documentata mediante verbali, report, registri, </w:t>
      </w:r>
      <w:proofErr w:type="spellStart"/>
      <w:r>
        <w:rPr>
          <w:rFonts w:ascii="Arial" w:eastAsia="Arial" w:hAnsi="Arial" w:cs="Arial"/>
          <w:color w:val="000000"/>
          <w:sz w:val="20"/>
          <w:szCs w:val="20"/>
        </w:rPr>
        <w:t>timesheet</w:t>
      </w:r>
      <w:proofErr w:type="spellEnd"/>
      <w:r>
        <w:rPr>
          <w:rFonts w:ascii="Arial" w:eastAsia="Arial" w:hAnsi="Arial" w:cs="Arial"/>
          <w:color w:val="000000"/>
          <w:sz w:val="20"/>
          <w:szCs w:val="20"/>
        </w:rPr>
        <w:t>, materiali prodotti, evidenze delle attività e ogni ulteriore documento previsto dall’Avviso.</w:t>
      </w:r>
    </w:p>
    <w:p w14:paraId="1CAB524F" w14:textId="77777777" w:rsidR="00AC0039" w:rsidRDefault="00000000" w:rsidP="00D14115">
      <w:pPr>
        <w:pStyle w:val="Titolo2"/>
        <w:spacing w:after="120"/>
        <w:rPr>
          <w:rFonts w:ascii="Arial" w:eastAsia="Arial" w:hAnsi="Arial" w:cs="Arial"/>
          <w:b w:val="0"/>
          <w:bCs w:val="0"/>
          <w:i/>
          <w:iCs/>
          <w:color w:val="000000"/>
          <w:sz w:val="20"/>
          <w:szCs w:val="20"/>
        </w:rPr>
      </w:pPr>
      <w:r>
        <w:rPr>
          <w:rFonts w:ascii="Arial" w:eastAsia="Arial" w:hAnsi="Arial" w:cs="Arial"/>
          <w:b w:val="0"/>
          <w:bCs w:val="0"/>
          <w:i/>
          <w:iCs/>
          <w:color w:val="000000"/>
          <w:sz w:val="20"/>
          <w:szCs w:val="20"/>
        </w:rPr>
        <w:t>Art. 6 – Attività progettuali, output ed evidenze</w:t>
      </w:r>
    </w:p>
    <w:p w14:paraId="738158D1" w14:textId="77777777" w:rsidR="00AC0039" w:rsidRDefault="00000000">
      <w:pPr>
        <w:spacing w:after="6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Le attività sono realizzate secondo il piano di lavoro approvato, con riferimento ai work package, alle azioni, agli output, ai risultati attesi e alle evidenze previste nel progetto.</w:t>
      </w:r>
    </w:p>
    <w:p w14:paraId="44394C00" w14:textId="77777777" w:rsidR="00AC0039" w:rsidRDefault="00000000">
      <w:pPr>
        <w:spacing w:after="6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Per ciascuna attività il partner responsabile assicura la produzione e la conservazione delle evidenze necessarie a dimostrare l’effettiva realizzazione, quali, a titolo esemplificativo, relazioni, report, registri, foto, materiali divulgativi, contenuti digitali, protocolli, schede tecniche, risultati di prove, documentazione di collaudo, programmi di eventi, elenchi partecipanti e ogni altro output pertinente.</w:t>
      </w:r>
    </w:p>
    <w:p w14:paraId="6525826D" w14:textId="77777777" w:rsidR="00AC0039" w:rsidRDefault="00000000">
      <w:pPr>
        <w:spacing w:after="6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Eventuali scostamenti rispetto ad attività, tempi, output o modalità attuative sono comunicati tempestivamente al capofila, che valuta con il gruppo di coordinamento le azioni correttive e, ove necessario, l’attivazione delle procedure previste dall’Avviso.</w:t>
      </w:r>
    </w:p>
    <w:p w14:paraId="6B09750C" w14:textId="77777777" w:rsidR="00AC0039" w:rsidRDefault="00000000" w:rsidP="00D14115">
      <w:pPr>
        <w:pStyle w:val="Titolo2"/>
        <w:spacing w:after="120"/>
        <w:rPr>
          <w:rFonts w:ascii="Arial" w:eastAsia="Arial" w:hAnsi="Arial" w:cs="Arial"/>
          <w:b w:val="0"/>
          <w:bCs w:val="0"/>
          <w:i/>
          <w:iCs/>
          <w:color w:val="000000"/>
          <w:sz w:val="20"/>
          <w:szCs w:val="20"/>
        </w:rPr>
      </w:pPr>
      <w:r>
        <w:rPr>
          <w:rFonts w:ascii="Arial" w:eastAsia="Arial" w:hAnsi="Arial" w:cs="Arial"/>
          <w:b w:val="0"/>
          <w:bCs w:val="0"/>
          <w:i/>
          <w:iCs/>
          <w:color w:val="000000"/>
          <w:sz w:val="20"/>
          <w:szCs w:val="20"/>
        </w:rPr>
        <w:t>Art. 7 – Gestione finanziaria interna e ripartizione delle risorse</w:t>
      </w:r>
    </w:p>
    <w:p w14:paraId="64DC4B50" w14:textId="77777777" w:rsidR="00AC0039" w:rsidRDefault="00000000">
      <w:pPr>
        <w:spacing w:after="6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La gestione finanziaria interna del partenariato è disciplinata dall’accordo tra i partner, nel rispetto dell’Avviso, del progetto approvato e del provvedimento di concessione.</w:t>
      </w:r>
    </w:p>
    <w:p w14:paraId="724222F0" w14:textId="77777777" w:rsidR="00AC0039" w:rsidRDefault="00000000">
      <w:pPr>
        <w:spacing w:after="6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Ciascun partner è responsabile della corretta imputazione delle ore e, ove pertinente, dei costi diretti di propria competenza, nonché della coerenza tra risorse impiegate, attività svolte, output prodotti ed evidenze progettuali.</w:t>
      </w:r>
    </w:p>
    <w:p w14:paraId="6E433A16" w14:textId="77777777" w:rsidR="00AC0039" w:rsidRDefault="00000000">
      <w:pPr>
        <w:spacing w:after="6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La quota forfettaria riconosciuta per i costi diversi dai costi diretti del personale è determinata dall’Amministrazione a livello di intero progetto, secondo quanto previsto dall’Avviso. La sua eventuale ripartizione interna tra i partner </w:t>
      </w:r>
      <w:r>
        <w:rPr>
          <w:rFonts w:ascii="Arial" w:eastAsia="Arial" w:hAnsi="Arial" w:cs="Arial"/>
          <w:color w:val="000000"/>
          <w:sz w:val="20"/>
          <w:szCs w:val="20"/>
        </w:rPr>
        <w:lastRenderedPageBreak/>
        <w:t>è rimessa alla governance del partenariato e all’accordo tra le parti, senza incidere sui criteri di determinazione del contributo pubblico da parte dell’Amministrazione.</w:t>
      </w:r>
    </w:p>
    <w:p w14:paraId="24184339" w14:textId="77777777" w:rsidR="00AC0039" w:rsidRDefault="00000000">
      <w:pPr>
        <w:spacing w:after="6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Il partenariato disciplina internamente le modalità di trasferimento delle risorse, di eventuale anticipazione, di regolazione dei rapporti economici tra capofila e partner e di gestione delle conseguenze derivanti da riduzioni, esclusioni, revoche, recuperi o inadempimenti imputabili a uno o più partner.</w:t>
      </w:r>
    </w:p>
    <w:p w14:paraId="51D7A478" w14:textId="77777777" w:rsidR="00AC0039" w:rsidRDefault="00000000" w:rsidP="00D14115">
      <w:pPr>
        <w:pStyle w:val="Titolo2"/>
        <w:spacing w:after="120"/>
        <w:rPr>
          <w:rFonts w:ascii="Arial" w:eastAsia="Arial" w:hAnsi="Arial" w:cs="Arial"/>
          <w:b w:val="0"/>
          <w:bCs w:val="0"/>
          <w:i/>
          <w:iCs/>
          <w:color w:val="000000"/>
          <w:sz w:val="20"/>
          <w:szCs w:val="20"/>
        </w:rPr>
      </w:pPr>
      <w:r>
        <w:rPr>
          <w:rFonts w:ascii="Arial" w:eastAsia="Arial" w:hAnsi="Arial" w:cs="Arial"/>
          <w:b w:val="0"/>
          <w:bCs w:val="0"/>
          <w:i/>
          <w:iCs/>
          <w:color w:val="000000"/>
          <w:sz w:val="20"/>
          <w:szCs w:val="20"/>
        </w:rPr>
        <w:t>Art. 8 – Varianti, modifiche e gestione delle criticità</w:t>
      </w:r>
    </w:p>
    <w:p w14:paraId="58CD635D" w14:textId="77777777" w:rsidR="00AC0039" w:rsidRDefault="00000000">
      <w:pPr>
        <w:spacing w:after="6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Qualsiasi esigenza di modifica delle attività, dei ruoli, del cronoprogramma, degli output, del partenariato o di altri elementi rilevanti del progetto è comunicata tempestivamente al capofila e sottoposta al gruppo di coordinamento.</w:t>
      </w:r>
    </w:p>
    <w:p w14:paraId="5A69C378" w14:textId="77777777" w:rsidR="00AC0039" w:rsidRDefault="00000000">
      <w:pPr>
        <w:spacing w:after="6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Le modifiche sono gestite nel rispetto delle procedure previste dall’Avviso e non possono comportare alterazioni non autorizzate del progetto approvato, degli obiettivi, dei requisiti di ammissibilità, dei criteri di selezione o degli impegni assunti.</w:t>
      </w:r>
    </w:p>
    <w:p w14:paraId="267CC6E2" w14:textId="77777777" w:rsidR="00AC0039" w:rsidRDefault="00000000">
      <w:pPr>
        <w:spacing w:after="6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In caso di ritardi, inadempimenti o criticità imputabili a un partner, il capofila promuove le opportune azioni correttive e ne dà evidenza documentale, fermo restando quanto previsto dall’Avviso in materia di obblighi, controlli, riduzioni, esclusioni, decadenza e recuperi.</w:t>
      </w:r>
    </w:p>
    <w:p w14:paraId="1BE6A259" w14:textId="77777777" w:rsidR="00AC0039" w:rsidRDefault="00000000" w:rsidP="00D14115">
      <w:pPr>
        <w:pStyle w:val="Titolo2"/>
        <w:spacing w:after="120"/>
        <w:rPr>
          <w:rFonts w:ascii="Arial" w:eastAsia="Arial" w:hAnsi="Arial" w:cs="Arial"/>
          <w:b w:val="0"/>
          <w:bCs w:val="0"/>
          <w:i/>
          <w:iCs/>
          <w:color w:val="000000"/>
          <w:sz w:val="20"/>
          <w:szCs w:val="20"/>
        </w:rPr>
      </w:pPr>
      <w:r>
        <w:rPr>
          <w:rFonts w:ascii="Arial" w:eastAsia="Arial" w:hAnsi="Arial" w:cs="Arial"/>
          <w:b w:val="0"/>
          <w:bCs w:val="0"/>
          <w:i/>
          <w:iCs/>
          <w:color w:val="000000"/>
          <w:sz w:val="20"/>
          <w:szCs w:val="20"/>
        </w:rPr>
        <w:t>Art. 9 – Conflitti di interesse e incompatibilità</w:t>
      </w:r>
    </w:p>
    <w:p w14:paraId="79EEE66D" w14:textId="77777777" w:rsidR="00AC0039" w:rsidRDefault="00000000">
      <w:pPr>
        <w:spacing w:after="6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Il capofila e i partner adottano misure idonee a prevenire, individuare e gestire situazioni di conflitto di interesse, anche potenziale, che possano incidere sull’imparzialità, sulla corretta realizzazione del progetto, sulla selezione di fornitori o collaboratori, sull’attribuzione di incarichi o sull’utilizzo dei risultati.</w:t>
      </w:r>
    </w:p>
    <w:p w14:paraId="5D0AE958" w14:textId="77777777" w:rsidR="00AC0039" w:rsidRDefault="00000000">
      <w:pPr>
        <w:spacing w:after="6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Ciascun partner è tenuto a dichiarare tempestivamente al capofila eventuali situazioni di conflitto di interesse o incompatibilità sopravvenute. Il capofila sottopone la questione al gruppo di coordinamento e promuove le misure necessarie, ivi compresa l’astensione del soggetto interessato dalle decisioni pertinenti, ove applicabile.</w:t>
      </w:r>
    </w:p>
    <w:p w14:paraId="06A6B7A7" w14:textId="77777777" w:rsidR="00AC0039" w:rsidRDefault="00000000">
      <w:pPr>
        <w:spacing w:after="6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Resta fermo il rispetto delle disposizioni unionali, nazionali e regionali applicabili in materia di conflitto di interessi, nonché degli obblighi previsti dall’Avviso e dagli atti di concessione.</w:t>
      </w:r>
    </w:p>
    <w:p w14:paraId="44E03D9C" w14:textId="77777777" w:rsidR="00AC0039" w:rsidRDefault="00000000" w:rsidP="00D14115">
      <w:pPr>
        <w:pStyle w:val="Titolo2"/>
        <w:spacing w:after="12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 w:val="0"/>
          <w:bCs w:val="0"/>
          <w:i/>
          <w:iCs/>
          <w:color w:val="000000"/>
          <w:sz w:val="20"/>
          <w:szCs w:val="20"/>
        </w:rPr>
        <w:t>Art. 10 – Comunicazione, disseminazione e trasferimento dei risultati</w:t>
      </w:r>
    </w:p>
    <w:p w14:paraId="69A86F7F" w14:textId="77777777" w:rsidR="00AC0039" w:rsidRDefault="00000000">
      <w:pPr>
        <w:spacing w:after="6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Il partenariato assicura la comunicazione, disseminazione e trasferibilità dei risultati secondo quanto previsto dall’Avviso, dal progetto approvato e dagli obblighi in materia di informazione e pubblicità.</w:t>
      </w:r>
    </w:p>
    <w:p w14:paraId="7DCA5591" w14:textId="77777777" w:rsidR="00AC0039" w:rsidRDefault="00000000">
      <w:pPr>
        <w:spacing w:after="6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Le attività di diffusione e trasferimento sono rivolte anche a soggetti esterni al partenariato e sono finalizzate a favorire la conoscenza, la replicabilità e l’applicazione delle innovazioni sviluppate o collaudate.</w:t>
      </w:r>
    </w:p>
    <w:p w14:paraId="5641943C" w14:textId="77777777" w:rsidR="00AC0039" w:rsidRDefault="00000000">
      <w:pP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Il partenariato individua gli strumenti di comunicazione e disseminazione da attivare:</w:t>
      </w:r>
    </w:p>
    <w:p w14:paraId="2CE0A5AE" w14:textId="77777777" w:rsidR="00AC003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pagina o sezione web dedicata al progetto;</w:t>
      </w:r>
    </w:p>
    <w:p w14:paraId="4140BC8F" w14:textId="77777777" w:rsidR="00AC003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eventi, incontri tecnici, workshop, seminari, webinar o giornate dimostrative;</w:t>
      </w:r>
    </w:p>
    <w:p w14:paraId="6B8E8433" w14:textId="77777777" w:rsidR="00AC003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visite aziendali, prove in campo, dimostrazioni, collaudi o attività pilota aperte agli operatori interessati;</w:t>
      </w:r>
    </w:p>
    <w:p w14:paraId="557298F4" w14:textId="77777777" w:rsidR="00AC003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materiali divulgativi, schede tecniche, report, video, contenuti digitali o social media;</w:t>
      </w:r>
    </w:p>
    <w:p w14:paraId="2862AF5E" w14:textId="77777777" w:rsidR="00AC003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3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ulteriori strumenti coerenti con il progetto approvato.</w:t>
      </w:r>
    </w:p>
    <w:p w14:paraId="6CEE841C" w14:textId="77777777" w:rsidR="00AC0039" w:rsidRDefault="00000000">
      <w:pPr>
        <w:spacing w:before="240" w:after="6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I materiali e gli output divulgativi devono consentire l’identificazione dell’intervento finanziato e contenere, ove pertinente, il CUP e gli elementi di comunicazione previsti dall’Avviso.</w:t>
      </w:r>
    </w:p>
    <w:p w14:paraId="154F13A5" w14:textId="77777777" w:rsidR="00AC0039" w:rsidRDefault="00000000" w:rsidP="00D14115">
      <w:pPr>
        <w:pStyle w:val="Titolo2"/>
        <w:spacing w:after="120"/>
        <w:rPr>
          <w:rFonts w:ascii="Arial" w:eastAsia="Arial" w:hAnsi="Arial" w:cs="Arial"/>
          <w:b w:val="0"/>
          <w:bCs w:val="0"/>
          <w:i/>
          <w:iCs/>
          <w:color w:val="000000"/>
          <w:sz w:val="20"/>
          <w:szCs w:val="20"/>
        </w:rPr>
      </w:pPr>
      <w:r>
        <w:rPr>
          <w:rFonts w:ascii="Arial" w:eastAsia="Arial" w:hAnsi="Arial" w:cs="Arial"/>
          <w:b w:val="0"/>
          <w:bCs w:val="0"/>
          <w:i/>
          <w:iCs/>
          <w:color w:val="000000"/>
          <w:sz w:val="20"/>
          <w:szCs w:val="20"/>
        </w:rPr>
        <w:lastRenderedPageBreak/>
        <w:t>Art. 11 – Risultati, proprietà intellettuale e utilizzo dei dati</w:t>
      </w:r>
    </w:p>
    <w:p w14:paraId="15B162F5" w14:textId="77777777" w:rsidR="00AC0039" w:rsidRDefault="00000000">
      <w:pPr>
        <w:spacing w:after="6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Il partenariato disciplina la titolarità, l’utilizzo, la valorizzazione e la diffusione dei risultati materiali e immateriali generati dal progetto, nel rispetto dell’Avviso e degli obblighi di disseminazione.</w:t>
      </w:r>
    </w:p>
    <w:p w14:paraId="512E0574" w14:textId="77777777" w:rsidR="00AC0039" w:rsidRDefault="00000000">
      <w:pPr>
        <w:spacing w:after="6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Eventuali diritti di proprietà industriale o intellettuale, banche dati, modelli, protocolli, software, know-how, materiali tecnici, report o altri risultati sono gestiti secondo quanto previsto dall’accordo di partenariato e dal presente Regolamento, garantendo in ogni caso la possibilità di rendere disponibili le informazioni e i risultati richiesti dall’Avviso.</w:t>
      </w:r>
    </w:p>
    <w:p w14:paraId="6D9412AC" w14:textId="77777777" w:rsidR="00AC0039" w:rsidRDefault="00000000">
      <w:pPr>
        <w:spacing w:after="6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L’eventuale sfruttamento economico dei risultati non può pregiudicare gli obblighi di pubblicità, trasferibilità e diffusione previsti dall’intervento, né determinare indebiti vantaggi o limitazioni incompatibili con la natura del sostegno pubblico.</w:t>
      </w:r>
    </w:p>
    <w:p w14:paraId="649D4106" w14:textId="77777777" w:rsidR="00AC0039" w:rsidRDefault="00000000" w:rsidP="00D14115">
      <w:pPr>
        <w:pStyle w:val="Titolo2"/>
        <w:spacing w:after="120"/>
        <w:rPr>
          <w:rFonts w:ascii="Arial" w:eastAsia="Arial" w:hAnsi="Arial" w:cs="Arial"/>
          <w:b w:val="0"/>
          <w:bCs w:val="0"/>
          <w:i/>
          <w:iCs/>
          <w:color w:val="000000"/>
          <w:sz w:val="20"/>
          <w:szCs w:val="20"/>
        </w:rPr>
      </w:pPr>
      <w:r>
        <w:rPr>
          <w:rFonts w:ascii="Arial" w:eastAsia="Arial" w:hAnsi="Arial" w:cs="Arial"/>
          <w:b w:val="0"/>
          <w:bCs w:val="0"/>
          <w:i/>
          <w:iCs/>
          <w:color w:val="000000"/>
          <w:sz w:val="20"/>
          <w:szCs w:val="20"/>
        </w:rPr>
        <w:t>Art. 12 – Riservatezza e protezione dei dati</w:t>
      </w:r>
    </w:p>
    <w:p w14:paraId="7FD47CC9" w14:textId="77777777" w:rsidR="00AC0039" w:rsidRDefault="00000000">
      <w:pPr>
        <w:spacing w:after="6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I partner si impegnano a trattare le informazioni riservate acquisite nell’ambito del progetto esclusivamente per le finalità progettuali, fatti salvi gli obblighi di trasparenza, pubblicità, controllo, monitoraggio e diffusione dei risultati previsti dall’Avviso e dalla normativa applicabile.</w:t>
      </w:r>
    </w:p>
    <w:p w14:paraId="15C423A8" w14:textId="77777777" w:rsidR="00AC0039" w:rsidRDefault="00000000">
      <w:pPr>
        <w:spacing w:after="6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Il trattamento dei dati personali avviene nel rispetto della normativa vigente in materia di protezione dei dati personali e secondo i ruoli e le responsabilità eventualmente definiti tra i partner.</w:t>
      </w:r>
    </w:p>
    <w:p w14:paraId="2098A898" w14:textId="77777777" w:rsidR="00AC0039" w:rsidRDefault="00000000" w:rsidP="00D14115">
      <w:pPr>
        <w:pStyle w:val="Titolo2"/>
        <w:spacing w:after="120"/>
        <w:rPr>
          <w:rFonts w:ascii="Arial" w:eastAsia="Arial" w:hAnsi="Arial" w:cs="Arial"/>
          <w:b w:val="0"/>
          <w:bCs w:val="0"/>
          <w:i/>
          <w:iCs/>
          <w:color w:val="000000"/>
          <w:sz w:val="20"/>
          <w:szCs w:val="20"/>
        </w:rPr>
      </w:pPr>
      <w:r>
        <w:rPr>
          <w:rFonts w:ascii="Arial" w:eastAsia="Arial" w:hAnsi="Arial" w:cs="Arial"/>
          <w:b w:val="0"/>
          <w:bCs w:val="0"/>
          <w:i/>
          <w:iCs/>
          <w:color w:val="000000"/>
          <w:sz w:val="20"/>
          <w:szCs w:val="20"/>
        </w:rPr>
        <w:t>Art. 13 – Inadempimenti, responsabilità interne e rapporti tra partner</w:t>
      </w:r>
    </w:p>
    <w:p w14:paraId="1B888A6A" w14:textId="77777777" w:rsidR="00AC0039" w:rsidRDefault="00000000">
      <w:pPr>
        <w:spacing w:after="6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In caso di mancato, parziale o non conforme adempimento degli obblighi assunti da uno o più partner, il capofila ne informa il gruppo di coordinamento e promuove le misure necessarie a salvaguardare la corretta attuazione del progetto.</w:t>
      </w:r>
    </w:p>
    <w:p w14:paraId="6032CB04" w14:textId="77777777" w:rsidR="00AC0039" w:rsidRDefault="00000000">
      <w:pPr>
        <w:spacing w:after="6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Il partenariato disciplina internamente le conseguenze degli inadempimenti imputabili ai singoli partner, inclusa l’eventuale regolazione economica tra le parti in caso di riduzioni, esclusioni, decadenze, revoche o recuperi disposti dall’Amministrazione, nel rispetto dell’Avviso e dell’accordo di partenariato.</w:t>
      </w:r>
    </w:p>
    <w:p w14:paraId="17A32F5F" w14:textId="77777777" w:rsidR="00AC0039" w:rsidRDefault="00000000">
      <w:pPr>
        <w:spacing w:after="6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L’eventuale recesso, sostituzione o subentro di un partner è consentito esclusivamente nei limiti e secondo le procedure previste dall’Avviso e dagli atti applicabili, previa valutazione degli effetti sulla composizione del partenariato, sui requisiti, sui punteggi, sulle attività e sugli impegni progettuali.</w:t>
      </w:r>
    </w:p>
    <w:p w14:paraId="6A5D1DF6" w14:textId="77777777" w:rsidR="00AC0039" w:rsidRDefault="00000000" w:rsidP="00D14115">
      <w:pPr>
        <w:pStyle w:val="Titolo2"/>
        <w:spacing w:after="120"/>
        <w:rPr>
          <w:rFonts w:ascii="Arial" w:eastAsia="Arial" w:hAnsi="Arial" w:cs="Arial"/>
          <w:b w:val="0"/>
          <w:bCs w:val="0"/>
          <w:i/>
          <w:iCs/>
          <w:color w:val="000000"/>
          <w:sz w:val="20"/>
          <w:szCs w:val="20"/>
        </w:rPr>
      </w:pPr>
      <w:r>
        <w:rPr>
          <w:rFonts w:ascii="Arial" w:eastAsia="Arial" w:hAnsi="Arial" w:cs="Arial"/>
          <w:b w:val="0"/>
          <w:bCs w:val="0"/>
          <w:i/>
          <w:iCs/>
          <w:color w:val="000000"/>
          <w:sz w:val="20"/>
          <w:szCs w:val="20"/>
        </w:rPr>
        <w:t>Art. 14 – Conservazione documentale e controlli</w:t>
      </w:r>
    </w:p>
    <w:p w14:paraId="11534707" w14:textId="77777777" w:rsidR="00AC0039" w:rsidRDefault="00000000">
      <w:pPr>
        <w:spacing w:after="6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Il capofila e i partner conservano la documentazione relativa alle attività di propria competenza, alle ore imputate, agli output prodotti, alle evidenze progettuali, alle decisioni assunte e agli obblighi previsti dall’Avviso, rendendola disponibile in caso di controlli, verifiche o richieste dell’Amministrazione e degli altri soggetti competenti.</w:t>
      </w:r>
    </w:p>
    <w:p w14:paraId="42D89728" w14:textId="77777777" w:rsidR="00AC0039" w:rsidRDefault="00000000">
      <w:pPr>
        <w:spacing w:after="6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La documentazione è conservata secondo le modalità e per i termini previsti dall’Avviso, dalle disposizioni applicabili e dagli atti di concessione.</w:t>
      </w:r>
    </w:p>
    <w:p w14:paraId="0A2BBB8B" w14:textId="77777777" w:rsidR="00AC0039" w:rsidRDefault="00000000" w:rsidP="00D14115">
      <w:pPr>
        <w:pStyle w:val="Titolo2"/>
        <w:spacing w:after="120"/>
        <w:rPr>
          <w:rFonts w:ascii="Arial" w:eastAsia="Arial" w:hAnsi="Arial" w:cs="Arial"/>
          <w:b w:val="0"/>
          <w:bCs w:val="0"/>
          <w:i/>
          <w:iCs/>
          <w:color w:val="000000"/>
          <w:sz w:val="20"/>
          <w:szCs w:val="20"/>
        </w:rPr>
      </w:pPr>
      <w:r>
        <w:rPr>
          <w:rFonts w:ascii="Arial" w:eastAsia="Arial" w:hAnsi="Arial" w:cs="Arial"/>
          <w:b w:val="0"/>
          <w:bCs w:val="0"/>
          <w:i/>
          <w:iCs/>
          <w:color w:val="000000"/>
          <w:sz w:val="20"/>
          <w:szCs w:val="20"/>
        </w:rPr>
        <w:t>Art. 15 – Durata, modifiche del Regolamento e sottoscrizione</w:t>
      </w:r>
    </w:p>
    <w:p w14:paraId="4AC66716" w14:textId="77777777" w:rsidR="00AC0039" w:rsidRDefault="00000000">
      <w:pPr>
        <w:spacing w:after="6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Il presente Regolamento entra in vigore dalla data di sottoscrizione da parte dei partner o dalla diversa data prevista dall’atto di costituzione o formalizzazione del partenariato nella forma prescelta tra quelle ammesse dall’Avviso.</w:t>
      </w:r>
    </w:p>
    <w:p w14:paraId="386D9B8C" w14:textId="77777777" w:rsidR="00AC0039" w:rsidRDefault="00000000">
      <w:pPr>
        <w:spacing w:after="6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Il Regolamento resta efficace per tutta la durata del progetto e fino al completo adempimento degli obblighi connessi alla realizzazione, rendicontazione, monitoraggio, controllo, conservazione documentale e diffusione dei </w:t>
      </w:r>
      <w:r>
        <w:rPr>
          <w:rFonts w:ascii="Arial" w:eastAsia="Arial" w:hAnsi="Arial" w:cs="Arial"/>
          <w:color w:val="000000"/>
          <w:sz w:val="20"/>
          <w:szCs w:val="20"/>
        </w:rPr>
        <w:lastRenderedPageBreak/>
        <w:t>risultati. Eventuali modifiche o integrazioni al presente Regolamento sono approvate secondo le modalità decisionali interne del partenariato e comunicate all’Amministrazione regionale</w:t>
      </w:r>
      <w:r>
        <w:rPr>
          <w:rFonts w:ascii="Arial" w:eastAsia="Arial" w:hAnsi="Arial" w:cs="Arial"/>
          <w:sz w:val="20"/>
          <w:szCs w:val="20"/>
        </w:rPr>
        <w:t>.</w:t>
      </w:r>
    </w:p>
    <w:p w14:paraId="5FF51A8E" w14:textId="77777777" w:rsidR="00AC0039" w:rsidRDefault="00AC0039">
      <w:pPr>
        <w:spacing w:after="60"/>
        <w:jc w:val="both"/>
        <w:rPr>
          <w:rFonts w:ascii="Arial" w:eastAsia="Arial" w:hAnsi="Arial" w:cs="Arial"/>
          <w:sz w:val="20"/>
          <w:szCs w:val="20"/>
        </w:rPr>
      </w:pPr>
    </w:p>
    <w:p w14:paraId="5908AB7A" w14:textId="77777777" w:rsidR="00AC0039" w:rsidRDefault="00000000">
      <w:pPr>
        <w:spacing w:after="6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Il presente Regolamento è sottoscritto dal capofila e da tutti i partner del progetto.</w:t>
      </w:r>
    </w:p>
    <w:p w14:paraId="3CA744C2" w14:textId="77777777" w:rsidR="00AC0039" w:rsidRDefault="00AC0039">
      <w:pPr>
        <w:spacing w:after="60" w:line="12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1"/>
        <w:tblW w:w="10072" w:type="dxa"/>
        <w:tblInd w:w="0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ayout w:type="fixed"/>
        <w:tblLook w:val="0400" w:firstRow="0" w:lastRow="0" w:firstColumn="0" w:lastColumn="0" w:noHBand="0" w:noVBand="1"/>
      </w:tblPr>
      <w:tblGrid>
        <w:gridCol w:w="2854"/>
        <w:gridCol w:w="4196"/>
        <w:gridCol w:w="3022"/>
      </w:tblGrid>
      <w:tr w:rsidR="00AC0039" w14:paraId="3FE341C1" w14:textId="77777777" w:rsidTr="00B04D73">
        <w:trPr>
          <w:trHeight w:val="560"/>
        </w:trPr>
        <w:tc>
          <w:tcPr>
            <w:tcW w:w="2854" w:type="dxa"/>
            <w:shd w:val="clear" w:color="auto" w:fill="F2F2F2"/>
            <w:vAlign w:val="center"/>
          </w:tcPr>
          <w:p w14:paraId="78058D5B" w14:textId="77777777" w:rsidR="00AC0039" w:rsidRDefault="00000000">
            <w:pPr>
              <w:spacing w:after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Soggetto</w:t>
            </w:r>
          </w:p>
        </w:tc>
        <w:tc>
          <w:tcPr>
            <w:tcW w:w="4196" w:type="dxa"/>
            <w:shd w:val="clear" w:color="auto" w:fill="F2F2F2"/>
            <w:vAlign w:val="center"/>
          </w:tcPr>
          <w:p w14:paraId="080CD5D2" w14:textId="77777777" w:rsidR="00AC0039" w:rsidRDefault="00000000">
            <w:pPr>
              <w:spacing w:after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Nome e cognome del legale rappresentante</w:t>
            </w:r>
          </w:p>
        </w:tc>
        <w:tc>
          <w:tcPr>
            <w:tcW w:w="3022" w:type="dxa"/>
            <w:shd w:val="clear" w:color="auto" w:fill="F2F2F2"/>
            <w:vAlign w:val="center"/>
          </w:tcPr>
          <w:p w14:paraId="6F739335" w14:textId="77777777" w:rsidR="00AC0039" w:rsidRDefault="00000000">
            <w:pPr>
              <w:spacing w:after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Firma</w:t>
            </w:r>
          </w:p>
        </w:tc>
      </w:tr>
      <w:tr w:rsidR="00AC0039" w14:paraId="2A47B06A" w14:textId="77777777" w:rsidTr="00B04D73">
        <w:trPr>
          <w:trHeight w:val="527"/>
        </w:trPr>
        <w:tc>
          <w:tcPr>
            <w:tcW w:w="2854" w:type="dxa"/>
            <w:vAlign w:val="center"/>
          </w:tcPr>
          <w:p w14:paraId="0C5E595D" w14:textId="77777777" w:rsidR="00AC0039" w:rsidRDefault="00000000">
            <w:pPr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Capofila: </w:t>
            </w:r>
          </w:p>
        </w:tc>
        <w:tc>
          <w:tcPr>
            <w:tcW w:w="4196" w:type="dxa"/>
            <w:vAlign w:val="center"/>
          </w:tcPr>
          <w:p w14:paraId="1A970CDE" w14:textId="77777777" w:rsidR="00AC0039" w:rsidRDefault="00AC0039">
            <w:pPr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022" w:type="dxa"/>
            <w:vAlign w:val="center"/>
          </w:tcPr>
          <w:p w14:paraId="2FD57073" w14:textId="77777777" w:rsidR="00AC0039" w:rsidRDefault="00AC0039">
            <w:pPr>
              <w:spacing w:after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AC0039" w14:paraId="04612145" w14:textId="77777777" w:rsidTr="00B04D73">
        <w:trPr>
          <w:trHeight w:val="548"/>
        </w:trPr>
        <w:tc>
          <w:tcPr>
            <w:tcW w:w="2854" w:type="dxa"/>
            <w:vAlign w:val="center"/>
          </w:tcPr>
          <w:p w14:paraId="1B4794AC" w14:textId="77777777" w:rsidR="00AC0039" w:rsidRDefault="00000000">
            <w:pPr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Partner: </w:t>
            </w:r>
          </w:p>
        </w:tc>
        <w:tc>
          <w:tcPr>
            <w:tcW w:w="4196" w:type="dxa"/>
            <w:vAlign w:val="center"/>
          </w:tcPr>
          <w:p w14:paraId="241F4CDF" w14:textId="77777777" w:rsidR="00AC0039" w:rsidRDefault="00AC0039">
            <w:pPr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022" w:type="dxa"/>
            <w:vAlign w:val="center"/>
          </w:tcPr>
          <w:p w14:paraId="5FD4DE4D" w14:textId="77777777" w:rsidR="00AC0039" w:rsidRDefault="00AC0039">
            <w:pPr>
              <w:spacing w:after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AC0039" w14:paraId="7B275401" w14:textId="77777777" w:rsidTr="00B04D73">
        <w:trPr>
          <w:trHeight w:val="527"/>
        </w:trPr>
        <w:tc>
          <w:tcPr>
            <w:tcW w:w="2854" w:type="dxa"/>
            <w:vAlign w:val="center"/>
          </w:tcPr>
          <w:p w14:paraId="1D45F9C2" w14:textId="77777777" w:rsidR="00AC0039" w:rsidRDefault="00000000">
            <w:pPr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Partner: </w:t>
            </w:r>
          </w:p>
        </w:tc>
        <w:tc>
          <w:tcPr>
            <w:tcW w:w="4196" w:type="dxa"/>
            <w:vAlign w:val="center"/>
          </w:tcPr>
          <w:p w14:paraId="208B48F7" w14:textId="77777777" w:rsidR="00AC0039" w:rsidRDefault="00AC0039">
            <w:pPr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022" w:type="dxa"/>
            <w:vAlign w:val="center"/>
          </w:tcPr>
          <w:p w14:paraId="1A7AFC22" w14:textId="77777777" w:rsidR="00AC0039" w:rsidRDefault="00AC0039">
            <w:pPr>
              <w:spacing w:after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AC0039" w14:paraId="6084D0D9" w14:textId="77777777" w:rsidTr="00B04D73">
        <w:trPr>
          <w:trHeight w:val="548"/>
        </w:trPr>
        <w:tc>
          <w:tcPr>
            <w:tcW w:w="2854" w:type="dxa"/>
            <w:vAlign w:val="center"/>
          </w:tcPr>
          <w:p w14:paraId="2ECE9849" w14:textId="77777777" w:rsidR="00AC0039" w:rsidRDefault="00000000">
            <w:pPr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Partner: </w:t>
            </w:r>
          </w:p>
        </w:tc>
        <w:tc>
          <w:tcPr>
            <w:tcW w:w="4196" w:type="dxa"/>
            <w:vAlign w:val="center"/>
          </w:tcPr>
          <w:p w14:paraId="46B4EDFA" w14:textId="77777777" w:rsidR="00AC0039" w:rsidRDefault="00AC0039">
            <w:pPr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022" w:type="dxa"/>
            <w:vAlign w:val="center"/>
          </w:tcPr>
          <w:p w14:paraId="261A7846" w14:textId="77777777" w:rsidR="00AC0039" w:rsidRDefault="00AC0039">
            <w:pPr>
              <w:spacing w:after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</w:tbl>
    <w:p w14:paraId="624CF03E" w14:textId="77777777" w:rsidR="00AC0039" w:rsidRDefault="00AC0039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sectPr w:rsidR="00AC0039">
      <w:headerReference w:type="default" r:id="rId8"/>
      <w:footerReference w:type="default" r:id="rId9"/>
      <w:pgSz w:w="12240" w:h="15840"/>
      <w:pgMar w:top="1134" w:right="1134" w:bottom="1020" w:left="1134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DB0454" w14:textId="77777777" w:rsidR="00D720F3" w:rsidRDefault="00D720F3">
      <w:pPr>
        <w:spacing w:after="0" w:line="240" w:lineRule="auto"/>
      </w:pPr>
      <w:r>
        <w:separator/>
      </w:r>
    </w:p>
  </w:endnote>
  <w:endnote w:type="continuationSeparator" w:id="0">
    <w:p w14:paraId="3CFEB07E" w14:textId="77777777" w:rsidR="00D720F3" w:rsidRDefault="00D720F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4BC6DB88-7163-468C-A7B0-64A4DEB8971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F4B71697-4628-4289-A498-D5E17F2A13DE}"/>
    <w:embedBold r:id="rId3" w:fontKey="{022F7EBE-671C-49B8-A935-E6DD9A8C1BFE}"/>
    <w:embedItalic r:id="rId4" w:fontKey="{43C8F2DD-7803-47DC-A1F7-8ED24C190548}"/>
    <w:embedBoldItalic r:id="rId5" w:fontKey="{4195E14D-0F5C-45B4-BEFC-42B7741D30D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F5003CBB-349C-430E-AA22-DC140D30083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D00658" w14:textId="77777777" w:rsidR="00AC003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B04D73">
      <w:rPr>
        <w:noProof/>
        <w:color w:val="000000"/>
      </w:rPr>
      <w:t>1</w:t>
    </w:r>
    <w:r>
      <w:rPr>
        <w:color w:val="00000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609F77" w14:textId="77777777" w:rsidR="00D720F3" w:rsidRDefault="00D720F3">
      <w:pPr>
        <w:spacing w:after="0" w:line="240" w:lineRule="auto"/>
      </w:pPr>
      <w:r>
        <w:separator/>
      </w:r>
    </w:p>
  </w:footnote>
  <w:footnote w:type="continuationSeparator" w:id="0">
    <w:p w14:paraId="3E57EF3F" w14:textId="77777777" w:rsidR="00D720F3" w:rsidRDefault="00D720F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5B2A68" w14:textId="77777777" w:rsidR="00AC003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center"/>
      <w:rPr>
        <w:b/>
        <w:bCs/>
        <w:color w:val="000000"/>
        <w:sz w:val="24"/>
        <w:szCs w:val="24"/>
      </w:rPr>
    </w:pPr>
    <w:r>
      <w:rPr>
        <w:noProof/>
        <w:color w:val="000000"/>
      </w:rPr>
      <w:drawing>
        <wp:inline distT="0" distB="0" distL="0" distR="0" wp14:anchorId="32368FD3" wp14:editId="72384FB1">
          <wp:extent cx="4183839" cy="873697"/>
          <wp:effectExtent l="0" t="0" r="0" b="0"/>
          <wp:docPr id="1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183839" cy="87369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38769214" w14:textId="77777777" w:rsidR="00AC003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right"/>
      <w:rPr>
        <w:rFonts w:ascii="Arial" w:eastAsia="Arial" w:hAnsi="Arial" w:cs="Arial"/>
        <w:b/>
        <w:bCs/>
        <w:color w:val="000000"/>
      </w:rPr>
    </w:pPr>
    <w:r>
      <w:rPr>
        <w:rFonts w:ascii="Arial" w:eastAsia="Arial" w:hAnsi="Arial" w:cs="Arial"/>
        <w:b/>
        <w:bCs/>
        <w:color w:val="000000"/>
      </w:rPr>
      <w:t>Allegato E</w:t>
    </w:r>
  </w:p>
  <w:p w14:paraId="37CEC8E1" w14:textId="77777777" w:rsidR="00AC0039" w:rsidRDefault="00AC0039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right"/>
      <w:rPr>
        <w:b/>
        <w:bCs/>
        <w:color w:val="000000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DC37952"/>
    <w:multiLevelType w:val="multilevel"/>
    <w:tmpl w:val="FE64DAFE"/>
    <w:lvl w:ilvl="0">
      <w:numFmt w:val="bullet"/>
      <w:lvlText w:val="-"/>
      <w:lvlJc w:val="left"/>
      <w:pPr>
        <w:ind w:left="720" w:hanging="360"/>
      </w:pPr>
      <w:rPr>
        <w:rFonts w:ascii="Yu Gothic UI" w:eastAsia="Yu Gothic UI" w:hAnsi="Yu Gothic UI" w:cs="Yu Gothic UI"/>
        <w:b w:val="0"/>
        <w:bCs w:val="0"/>
        <w:i w:val="0"/>
        <w:iCs w:val="0"/>
        <w:color w:val="221F1F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49612027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0039"/>
    <w:rsid w:val="004E7FEB"/>
    <w:rsid w:val="00AC0039"/>
    <w:rsid w:val="00B04D73"/>
    <w:rsid w:val="00BB0BE1"/>
    <w:rsid w:val="00C47997"/>
    <w:rsid w:val="00CC0412"/>
    <w:rsid w:val="00D14115"/>
    <w:rsid w:val="00D720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738372"/>
  <w15:docId w15:val="{C7810A91-EF3B-42DB-9DA3-EF6A97366D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2"/>
        <w:szCs w:val="22"/>
        <w:lang w:val="it" w:eastAsia="it-I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0"/>
      <w:outlineLvl w:val="0"/>
    </w:pPr>
    <w:rPr>
      <w:rFonts w:ascii="Calibri" w:eastAsia="Calibri" w:hAnsi="Calibri" w:cs="Calibri"/>
      <w:b/>
      <w:bCs/>
      <w:color w:val="366091"/>
      <w:sz w:val="28"/>
      <w:szCs w:val="28"/>
    </w:rPr>
  </w:style>
  <w:style w:type="paragraph" w:styleId="Titolo2">
    <w:name w:val="heading 2"/>
    <w:basedOn w:val="Normale"/>
    <w:next w:val="Normale"/>
    <w:uiPriority w:val="9"/>
    <w:unhideWhenUsed/>
    <w:qFormat/>
    <w:pPr>
      <w:keepNext/>
      <w:keepLines/>
      <w:spacing w:before="200" w:after="0"/>
      <w:outlineLvl w:val="1"/>
    </w:pPr>
    <w:rPr>
      <w:rFonts w:ascii="Calibri" w:eastAsia="Calibri" w:hAnsi="Calibri" w:cs="Calibri"/>
      <w:b/>
      <w:bCs/>
      <w:color w:val="4F81BD"/>
      <w:sz w:val="26"/>
      <w:szCs w:val="2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00" w:after="0"/>
      <w:outlineLvl w:val="2"/>
    </w:pPr>
    <w:rPr>
      <w:rFonts w:ascii="Calibri" w:eastAsia="Calibri" w:hAnsi="Calibri" w:cs="Calibri"/>
      <w:b/>
      <w:bCs/>
      <w:color w:val="4F81BD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00" w:after="0"/>
      <w:outlineLvl w:val="3"/>
    </w:pPr>
    <w:rPr>
      <w:rFonts w:ascii="Calibri" w:eastAsia="Calibri" w:hAnsi="Calibri" w:cs="Calibri"/>
      <w:b/>
      <w:bCs/>
      <w:i/>
      <w:iCs/>
      <w:color w:val="4F81BD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00" w:after="0"/>
      <w:outlineLvl w:val="4"/>
    </w:pPr>
    <w:rPr>
      <w:rFonts w:ascii="Calibri" w:eastAsia="Calibri" w:hAnsi="Calibri" w:cs="Calibri"/>
      <w:color w:val="243F61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0"/>
      <w:outlineLvl w:val="5"/>
    </w:pPr>
    <w:rPr>
      <w:rFonts w:ascii="Calibri" w:eastAsia="Calibri" w:hAnsi="Calibri" w:cs="Calibri"/>
      <w:i/>
      <w:iCs/>
      <w:color w:val="243F61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pBdr>
        <w:bottom w:val="single" w:sz="8" w:space="4" w:color="4F81BD"/>
      </w:pBdr>
      <w:spacing w:after="300" w:line="240" w:lineRule="auto"/>
    </w:pPr>
    <w:rPr>
      <w:rFonts w:ascii="Calibri" w:eastAsia="Calibri" w:hAnsi="Calibri" w:cs="Calibri"/>
      <w:color w:val="17365D"/>
      <w:sz w:val="52"/>
      <w:szCs w:val="52"/>
    </w:rPr>
  </w:style>
  <w:style w:type="paragraph" w:styleId="Sottotitolo">
    <w:name w:val="Subtitle"/>
    <w:basedOn w:val="Normale"/>
    <w:next w:val="Normale"/>
    <w:uiPriority w:val="11"/>
    <w:qFormat/>
    <w:rPr>
      <w:rFonts w:ascii="Calibri" w:eastAsia="Calibri" w:hAnsi="Calibri" w:cs="Calibri"/>
      <w:i/>
      <w:iCs/>
      <w:color w:val="4F81BD"/>
      <w:sz w:val="24"/>
      <w:szCs w:val="24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lh7WSEgCee+9r3HHxyfSiC6wdCQ==">CgMxLjA4AHIhMTk2ZnFqZGlfTmJtcGxhMmhnX1NYczc3aGhrVk5Wdl9q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2309</Words>
  <Characters>13166</Characters>
  <Application>Microsoft Office Word</Application>
  <DocSecurity>0</DocSecurity>
  <Lines>109</Lines>
  <Paragraphs>30</Paragraphs>
  <ScaleCrop>false</ScaleCrop>
  <Company/>
  <LinksUpToDate>false</LinksUpToDate>
  <CharactersWithSpaces>15445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Andrea Cristaldini</dc:creator>
  <cp:lastModifiedBy>Andrea Cristaldini</cp:lastModifiedBy>
  <cp:revision>2</cp:revision>
  <dcterms:created xsi:type="dcterms:W3CDTF">2026-07-10T07:33:00Z</dcterms:created>
  <dcterms:modified xsi:type="dcterms:W3CDTF">2026-07-10T07:33:00Z</dcterms:modified>
</cp:coreProperties>
</file>